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79132CA7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B564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0D7F04"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23</w:t>
      </w:r>
      <w:r w:rsidR="000D7F04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8C0E23">
        <w:rPr>
          <w:rFonts w:ascii="Arial" w:eastAsiaTheme="minorEastAsia" w:hAnsi="Arial" w:cs="Arial"/>
          <w:b/>
          <w:sz w:val="24"/>
          <w:szCs w:val="24"/>
          <w:lang w:eastAsia="zh-CN"/>
        </w:rPr>
        <w:t>4864</w:t>
      </w:r>
    </w:p>
    <w:p w14:paraId="4A0348EB" w14:textId="27C8E8D9" w:rsidR="00B465A4" w:rsidRPr="003F2F99" w:rsidRDefault="00B465A4" w:rsidP="00B465A4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Toulouse, France, August 21 – August 25, 2023</w:t>
      </w:r>
    </w:p>
    <w:p w14:paraId="1226C057" w14:textId="7633350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A10C9" w:rsidRPr="00AA10C9">
        <w:rPr>
          <w:rFonts w:ascii="Arial" w:hAnsi="Arial" w:cs="Arial"/>
          <w:sz w:val="22"/>
          <w:lang w:eastAsia="zh-CN"/>
        </w:rPr>
        <w:t xml:space="preserve">WF </w:t>
      </w:r>
      <w:r w:rsidR="008C0E23">
        <w:rPr>
          <w:rFonts w:ascii="Arial" w:hAnsi="Arial" w:cs="Arial"/>
          <w:sz w:val="22"/>
          <w:lang w:eastAsia="zh-CN"/>
        </w:rPr>
        <w:t xml:space="preserve">on </w:t>
      </w:r>
      <w:r w:rsidR="00AA10C9" w:rsidRPr="00AA10C9">
        <w:rPr>
          <w:rFonts w:ascii="Arial" w:hAnsi="Arial" w:cs="Arial"/>
          <w:sz w:val="22"/>
          <w:lang w:eastAsia="zh-CN"/>
        </w:rPr>
        <w:t>intra-band contiguous UL-CA MSD</w:t>
      </w:r>
    </w:p>
    <w:p w14:paraId="73AD8CE3" w14:textId="22B9663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2750F" w:rsidRPr="00F2750F">
        <w:rPr>
          <w:rFonts w:ascii="Arial" w:hAnsi="Arial" w:cs="Arial"/>
          <w:sz w:val="22"/>
          <w:lang w:eastAsia="zh-CN"/>
        </w:rPr>
        <w:t>7.1.1.2</w:t>
      </w:r>
    </w:p>
    <w:p w14:paraId="6402E503" w14:textId="418DD5B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7603" w:rsidRPr="008A7603">
        <w:rPr>
          <w:rFonts w:ascii="Arial" w:hAnsi="Arial" w:cs="Arial"/>
          <w:b/>
          <w:sz w:val="22"/>
        </w:rPr>
        <w:t>Skyworks</w:t>
      </w:r>
      <w:r w:rsidR="008A7603">
        <w:rPr>
          <w:rFonts w:ascii="Arial" w:hAnsi="Arial" w:cs="Arial"/>
          <w:b/>
          <w:sz w:val="22"/>
        </w:rPr>
        <w:t xml:space="preserve">, </w:t>
      </w:r>
      <w:r w:rsidR="00947A30">
        <w:rPr>
          <w:rFonts w:ascii="Arial" w:hAnsi="Arial" w:cs="Arial"/>
          <w:b/>
          <w:sz w:val="22"/>
        </w:rPr>
        <w:t>Murata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77777777" w:rsidR="00F2750F" w:rsidRDefault="00F2750F" w:rsidP="00F2750F">
      <w:pPr>
        <w:pStyle w:val="Heading1"/>
        <w:spacing w:after="120"/>
        <w:ind w:left="1138" w:hanging="1138"/>
      </w:pPr>
      <w:r>
        <w:t>1</w:t>
      </w:r>
      <w:r>
        <w:tab/>
        <w:t xml:space="preserve">Background </w:t>
      </w:r>
    </w:p>
    <w:p w14:paraId="1911E4AC" w14:textId="4B01FE86" w:rsidR="00F36EA0" w:rsidRDefault="003C71D0" w:rsidP="004F5E03">
      <w:pPr>
        <w:spacing w:after="0"/>
        <w:jc w:val="both"/>
      </w:pPr>
      <w:r w:rsidRPr="003C71D0">
        <w:t>In RAN</w:t>
      </w:r>
      <w:r w:rsidR="008C0E23">
        <w:t>4</w:t>
      </w:r>
      <w:r w:rsidRPr="003C71D0">
        <w:t>#</w:t>
      </w:r>
      <w:r w:rsidR="008C0E23">
        <w:t>99</w:t>
      </w:r>
      <w:r w:rsidRPr="003C71D0">
        <w:t xml:space="preserve">, </w:t>
      </w:r>
      <w:r w:rsidR="008C0E23">
        <w:t xml:space="preserve">some guidelines were agreed for MSD test points of EN-DC intra-band contiguous with single </w:t>
      </w:r>
      <w:r w:rsidRPr="003C71D0">
        <w:t>UL</w:t>
      </w:r>
      <w:r w:rsidR="00AB02E5">
        <w:t xml:space="preserve"> [1]. The agreement was to specify the worst-case (highest) MSD test point, ie, the test point that corresponds </w:t>
      </w:r>
      <w:r w:rsidR="00AB02E5" w:rsidRPr="00AB02E5">
        <w:t>to</w:t>
      </w:r>
      <w:r w:rsidR="00AB02E5" w:rsidRPr="00AB02E5">
        <w:rPr>
          <w:i/>
          <w:iCs/>
        </w:rPr>
        <w:t xml:space="preserve"> </w:t>
      </w:r>
      <w:r w:rsidR="00AB02E5">
        <w:rPr>
          <w:i/>
          <w:iCs/>
        </w:rPr>
        <w:t>"</w:t>
      </w:r>
      <w:r w:rsidR="00AB02E5" w:rsidRPr="00AB02E5">
        <w:rPr>
          <w:i/>
          <w:iCs/>
        </w:rPr>
        <w:t>the collision of the lowest victim’s CBW which experiences the greatest overlap with the lowest IMD order leading to highest MSD</w:t>
      </w:r>
      <w:r w:rsidR="00AB02E5">
        <w:rPr>
          <w:i/>
          <w:iCs/>
        </w:rPr>
        <w:t xml:space="preserve">" </w:t>
      </w:r>
      <w:r w:rsidR="00AB02E5" w:rsidRPr="00AB02E5">
        <w:t>[1]</w:t>
      </w:r>
      <w:r w:rsidR="00834FB2">
        <w:t xml:space="preserve">. </w:t>
      </w:r>
      <w:r w:rsidR="00AB02E5">
        <w:t xml:space="preserve">For NR-CA, no such guidelines were captured intra-band contiguous UL-CA. </w:t>
      </w:r>
    </w:p>
    <w:p w14:paraId="30984FFC" w14:textId="77777777" w:rsidR="00F36EA0" w:rsidRDefault="00F36EA0" w:rsidP="004F5E03">
      <w:pPr>
        <w:spacing w:after="0"/>
        <w:jc w:val="both"/>
      </w:pPr>
    </w:p>
    <w:p w14:paraId="35AC4468" w14:textId="3904C867" w:rsidR="004F5E03" w:rsidRDefault="004F5E03" w:rsidP="004F5E03">
      <w:pPr>
        <w:tabs>
          <w:tab w:val="left" w:pos="5103"/>
        </w:tabs>
        <w:spacing w:after="0"/>
        <w:jc w:val="both"/>
      </w:pPr>
      <w:r>
        <w:t xml:space="preserve">As additional background, during Rel-17 it was </w:t>
      </w:r>
      <w:r w:rsidR="00947A30">
        <w:t>proposed</w:t>
      </w:r>
      <w:r>
        <w:t xml:space="preserve"> to swap the PCC/SCC placement for </w:t>
      </w:r>
      <w:r w:rsidR="009B639D">
        <w:t xml:space="preserve">the </w:t>
      </w:r>
      <w:r>
        <w:t>CA_n5B and CA_n7B</w:t>
      </w:r>
      <w:r w:rsidR="009B639D">
        <w:t xml:space="preserve"> MSD test points</w:t>
      </w:r>
      <w:r>
        <w:t>. This allowed removing the 1UL/2UL test points</w:t>
      </w:r>
      <w:r w:rsidR="009B639D">
        <w:t xml:space="preserve"> and it</w:t>
      </w:r>
      <w:r>
        <w:t xml:space="preserve"> also justified that only one "2UL" test point is needed [2]. This agreement is captured as NOTE 2 in </w:t>
      </w:r>
      <w:r w:rsidRPr="004F5E03">
        <w:t>Table 7.3A.2.1-1</w:t>
      </w:r>
      <w:r>
        <w:t xml:space="preserve"> and is summarized with the example of the CA_n7B IMD landscape sketch of </w:t>
      </w:r>
      <w:r>
        <w:fldChar w:fldCharType="begin"/>
      </w:r>
      <w:r>
        <w:instrText xml:space="preserve"> REF _Ref143764258 \h 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below.</w:t>
      </w:r>
    </w:p>
    <w:p w14:paraId="39E16E06" w14:textId="77777777" w:rsidR="004F5E03" w:rsidRDefault="004F5E03" w:rsidP="00834FB2">
      <w:pPr>
        <w:spacing w:after="0"/>
      </w:pPr>
    </w:p>
    <w:p w14:paraId="4AFD9DC4" w14:textId="24827ED5" w:rsidR="004F5E03" w:rsidRDefault="0062000B" w:rsidP="004F5E03">
      <w:pPr>
        <w:spacing w:after="0"/>
        <w:jc w:val="center"/>
      </w:pPr>
      <w:r w:rsidRPr="0062000B">
        <w:rPr>
          <w:noProof/>
        </w:rPr>
        <w:drawing>
          <wp:inline distT="0" distB="0" distL="0" distR="0" wp14:anchorId="36DEF08B" wp14:editId="78FAAE91">
            <wp:extent cx="5234940" cy="2614719"/>
            <wp:effectExtent l="0" t="0" r="0" b="0"/>
            <wp:docPr id="11565620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402" cy="2621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7C166" w14:textId="76080319" w:rsidR="004F5E03" w:rsidRDefault="004F5E03" w:rsidP="004F5E03">
      <w:pPr>
        <w:pStyle w:val="Caption"/>
      </w:pPr>
      <w:bookmarkStart w:id="0" w:name="_Ref1437642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Background on PCC/SCC placement and need to specify only one "2UL" MSD test point per BCS</w:t>
      </w:r>
      <w:r w:rsidR="00D12F84">
        <w:t xml:space="preserve"> [2]</w:t>
      </w:r>
    </w:p>
    <w:p w14:paraId="7DE8907F" w14:textId="77777777" w:rsidR="00AB02E5" w:rsidRDefault="00AB02E5" w:rsidP="00834FB2">
      <w:pPr>
        <w:spacing w:after="0"/>
      </w:pPr>
    </w:p>
    <w:p w14:paraId="1A5E5EB3" w14:textId="47351D8E" w:rsidR="00F2750F" w:rsidRPr="00AB149D" w:rsidRDefault="00834FB2" w:rsidP="00F2750F">
      <w:pPr>
        <w:spacing w:after="0"/>
      </w:pPr>
      <w:r>
        <w:t xml:space="preserve">This WF </w:t>
      </w:r>
      <w:r w:rsidR="00AB02E5">
        <w:t>bri</w:t>
      </w:r>
      <w:r w:rsidR="009B639D">
        <w:t>ngs</w:t>
      </w:r>
      <w:r w:rsidR="005D7EF4">
        <w:t xml:space="preserve"> guidelines</w:t>
      </w:r>
      <w:r w:rsidR="00AB02E5">
        <w:t xml:space="preserve"> for intra-band contiguous UL-CA </w:t>
      </w:r>
      <w:r>
        <w:t>MSD test point</w:t>
      </w:r>
      <w:r w:rsidR="00AB02E5">
        <w:t>s</w:t>
      </w:r>
      <w:r w:rsidR="005D7EF4">
        <w:t xml:space="preserve">. </w:t>
      </w:r>
    </w:p>
    <w:p w14:paraId="070F65FD" w14:textId="77777777" w:rsidR="00D71576" w:rsidRDefault="00F2750F" w:rsidP="00D71576">
      <w:pPr>
        <w:pStyle w:val="Heading1"/>
        <w:numPr>
          <w:ilvl w:val="0"/>
          <w:numId w:val="33"/>
        </w:numPr>
        <w:ind w:left="1138" w:hanging="1138"/>
      </w:pPr>
      <w:r>
        <w:t>Way forward</w:t>
      </w:r>
    </w:p>
    <w:p w14:paraId="4870C35B" w14:textId="70CC0A14" w:rsidR="00F36EA0" w:rsidRDefault="00F36EA0" w:rsidP="00F36EA0">
      <w:r>
        <w:rPr>
          <w:lang w:eastAsia="zh-CN"/>
        </w:rPr>
        <w:t>&lt;</w:t>
      </w:r>
      <w:r w:rsidRPr="00D71576">
        <w:rPr>
          <w:b/>
          <w:bCs/>
          <w:lang w:eastAsia="zh-CN"/>
        </w:rPr>
        <w:t>Agreement</w:t>
      </w:r>
      <w:r>
        <w:rPr>
          <w:b/>
          <w:bCs/>
          <w:lang w:eastAsia="zh-CN"/>
        </w:rPr>
        <w:t xml:space="preserve"> #2 on UL PCC/SCC channel bandwidth (CBW) and RB allocation (L</w:t>
      </w:r>
      <w:r w:rsidRPr="00F36EA0">
        <w:rPr>
          <w:b/>
          <w:bCs/>
          <w:vertAlign w:val="subscript"/>
          <w:lang w:eastAsia="zh-CN"/>
        </w:rPr>
        <w:t>CRB</w:t>
      </w:r>
      <w:r>
        <w:rPr>
          <w:b/>
          <w:bCs/>
          <w:lang w:eastAsia="zh-CN"/>
        </w:rPr>
        <w:t>)</w:t>
      </w:r>
      <w:r>
        <w:rPr>
          <w:lang w:eastAsia="zh-CN"/>
        </w:rPr>
        <w:t>&gt;</w:t>
      </w:r>
    </w:p>
    <w:p w14:paraId="7832E04F" w14:textId="1F14A8F1" w:rsidR="0062000B" w:rsidRPr="0062000B" w:rsidRDefault="0062000B" w:rsidP="0062000B">
      <w:pPr>
        <w:rPr>
          <w:lang w:val="en-US" w:eastAsia="zh-CN"/>
        </w:rPr>
      </w:pPr>
      <w:r>
        <w:rPr>
          <w:lang w:eastAsia="zh-CN"/>
        </w:rPr>
        <w:t>For intra-band contiguous UL-CA:</w:t>
      </w:r>
    </w:p>
    <w:p w14:paraId="243C14FF" w14:textId="0426341D" w:rsidR="00CB16B0" w:rsidRPr="0062000B" w:rsidRDefault="0062000B" w:rsidP="0062000B">
      <w:pPr>
        <w:pStyle w:val="ListParagraph"/>
        <w:numPr>
          <w:ilvl w:val="0"/>
          <w:numId w:val="36"/>
        </w:numPr>
        <w:ind w:firstLineChars="0"/>
        <w:rPr>
          <w:lang w:val="en-US" w:eastAsia="zh-CN"/>
        </w:rPr>
      </w:pPr>
      <w:r>
        <w:rPr>
          <w:lang w:eastAsia="zh-CN"/>
        </w:rPr>
        <w:t xml:space="preserve">It is sufficient to specify only one dual-uplink MSD test point per BCS. </w:t>
      </w:r>
    </w:p>
    <w:p w14:paraId="37111DFD" w14:textId="11265742" w:rsidR="0062000B" w:rsidRPr="0062000B" w:rsidRDefault="0062000B" w:rsidP="0062000B">
      <w:pPr>
        <w:pStyle w:val="ListParagraph"/>
        <w:numPr>
          <w:ilvl w:val="0"/>
          <w:numId w:val="36"/>
        </w:numPr>
        <w:ind w:firstLineChars="0"/>
        <w:rPr>
          <w:lang w:val="en-US" w:eastAsia="zh-CN"/>
        </w:rPr>
      </w:pPr>
      <w:r>
        <w:rPr>
          <w:lang w:eastAsia="zh-CN"/>
        </w:rPr>
        <w:t xml:space="preserve">If a test point can only be supported by a given BCS, a footnote is needed to indicate this restriction. This is consistent with agreements for MSD test points for EN-DC intra-band contiguous </w:t>
      </w:r>
      <w:r w:rsidRPr="0062000B">
        <w:rPr>
          <w:lang w:eastAsia="zh-CN"/>
        </w:rPr>
        <w:t>Table 7.3B.2.1-1</w:t>
      </w:r>
      <w:r>
        <w:rPr>
          <w:lang w:eastAsia="zh-CN"/>
        </w:rPr>
        <w:t>.</w:t>
      </w:r>
    </w:p>
    <w:p w14:paraId="33A208CB" w14:textId="27F2379F" w:rsidR="0062000B" w:rsidRPr="0062000B" w:rsidRDefault="0062000B" w:rsidP="0062000B">
      <w:pPr>
        <w:pStyle w:val="ListParagraph"/>
        <w:numPr>
          <w:ilvl w:val="0"/>
          <w:numId w:val="36"/>
        </w:numPr>
        <w:ind w:firstLineChars="0"/>
        <w:rPr>
          <w:lang w:val="en-US" w:eastAsia="zh-CN"/>
        </w:rPr>
      </w:pPr>
      <w:r>
        <w:rPr>
          <w:lang w:eastAsia="zh-CN"/>
        </w:rPr>
        <w:t xml:space="preserve">The test point is selected to specify the </w:t>
      </w:r>
      <w:r w:rsidRPr="0062000B">
        <w:rPr>
          <w:lang w:eastAsia="zh-CN"/>
        </w:rPr>
        <w:t xml:space="preserve">worst-case (highest) MSD </w:t>
      </w:r>
      <w:r>
        <w:rPr>
          <w:lang w:eastAsia="zh-CN"/>
        </w:rPr>
        <w:t xml:space="preserve">level for the PCC, </w:t>
      </w:r>
    </w:p>
    <w:p w14:paraId="7BE4345E" w14:textId="34D55E26" w:rsidR="0062000B" w:rsidRPr="00D12F84" w:rsidRDefault="00A7566E" w:rsidP="0062000B">
      <w:pPr>
        <w:pStyle w:val="ListParagraph"/>
        <w:numPr>
          <w:ilvl w:val="0"/>
          <w:numId w:val="36"/>
        </w:numPr>
        <w:ind w:firstLineChars="0"/>
        <w:rPr>
          <w:lang w:val="en-US" w:eastAsia="zh-CN"/>
        </w:rPr>
      </w:pPr>
      <w:r>
        <w:rPr>
          <w:lang w:eastAsia="zh-CN"/>
        </w:rPr>
        <w:t>For UL RB allocation</w:t>
      </w:r>
      <w:r w:rsidR="00D12F84">
        <w:rPr>
          <w:lang w:eastAsia="zh-CN"/>
        </w:rPr>
        <w:t>,</w:t>
      </w:r>
    </w:p>
    <w:p w14:paraId="53AD8CEB" w14:textId="515AA7F5" w:rsidR="00D12F84" w:rsidRPr="00D12F84" w:rsidRDefault="00D12F84" w:rsidP="00D12F84">
      <w:pPr>
        <w:pStyle w:val="ListParagraph"/>
        <w:numPr>
          <w:ilvl w:val="1"/>
          <w:numId w:val="36"/>
        </w:numPr>
        <w:ind w:firstLineChars="0"/>
        <w:rPr>
          <w:lang w:val="en-US" w:eastAsia="zh-CN"/>
        </w:rPr>
      </w:pPr>
      <w:r>
        <w:rPr>
          <w:lang w:eastAsia="zh-CN"/>
        </w:rPr>
        <w:t xml:space="preserve">The total number of UL RBs is equal to the UL RB configuration defined in </w:t>
      </w:r>
      <w:r w:rsidRPr="00D12F84">
        <w:rPr>
          <w:lang w:eastAsia="zh-CN"/>
        </w:rPr>
        <w:t>Table 7.3.2-3</w:t>
      </w:r>
      <w:r>
        <w:rPr>
          <w:lang w:eastAsia="zh-CN"/>
        </w:rPr>
        <w:t xml:space="preserve"> </w:t>
      </w:r>
      <w:r w:rsidRPr="00D12F84">
        <w:rPr>
          <w:lang w:eastAsia="zh-CN"/>
        </w:rPr>
        <w:t>Uplink configuration for reference sensitivity</w:t>
      </w:r>
      <w:r>
        <w:rPr>
          <w:lang w:eastAsia="zh-CN"/>
        </w:rPr>
        <w:t xml:space="preserve"> for the DL maximum aggregated channel bandwidth. The total number of UL RBs is defined as the sum of the PCC UL RBs and the SCC UL RBs,</w:t>
      </w:r>
    </w:p>
    <w:p w14:paraId="3FE9896A" w14:textId="5CC4C735" w:rsidR="00D12F84" w:rsidRPr="005E5293" w:rsidRDefault="00D12F84" w:rsidP="00D12F84">
      <w:pPr>
        <w:pStyle w:val="ListParagraph"/>
        <w:numPr>
          <w:ilvl w:val="1"/>
          <w:numId w:val="36"/>
        </w:numPr>
        <w:ind w:firstLineChars="0"/>
        <w:rPr>
          <w:lang w:val="en-US" w:eastAsia="zh-CN"/>
        </w:rPr>
      </w:pPr>
      <w:r>
        <w:rPr>
          <w:lang w:eastAsia="zh-CN"/>
        </w:rPr>
        <w:t>The PCC/SCC Lcrb is specified to achieve equal PSD.</w:t>
      </w:r>
    </w:p>
    <w:p w14:paraId="4B9DDF85" w14:textId="3A76628A" w:rsidR="005E5293" w:rsidRPr="00D12F84" w:rsidRDefault="005E5293" w:rsidP="00D12F84">
      <w:pPr>
        <w:pStyle w:val="ListParagraph"/>
        <w:numPr>
          <w:ilvl w:val="1"/>
          <w:numId w:val="36"/>
        </w:numPr>
        <w:ind w:firstLineChars="0"/>
        <w:rPr>
          <w:lang w:val="en-US" w:eastAsia="zh-CN"/>
        </w:rPr>
      </w:pPr>
      <w:r>
        <w:rPr>
          <w:lang w:eastAsia="zh-CN"/>
        </w:rPr>
        <w:lastRenderedPageBreak/>
        <w:t xml:space="preserve">The RBstart is specified to maximize the DL PCC </w:t>
      </w:r>
      <w:r w:rsidR="001067C6">
        <w:rPr>
          <w:lang w:eastAsia="zh-CN"/>
        </w:rPr>
        <w:t xml:space="preserve">overlap </w:t>
      </w:r>
      <w:r>
        <w:rPr>
          <w:lang w:eastAsia="zh-CN"/>
        </w:rPr>
        <w:t xml:space="preserve">by the lowest </w:t>
      </w:r>
      <w:r w:rsidR="001067C6">
        <w:rPr>
          <w:lang w:eastAsia="zh-CN"/>
        </w:rPr>
        <w:t xml:space="preserve">dual-uplink </w:t>
      </w:r>
      <w:r>
        <w:rPr>
          <w:lang w:eastAsia="zh-CN"/>
        </w:rPr>
        <w:t>IMD order</w:t>
      </w:r>
      <w:r w:rsidR="00255453">
        <w:rPr>
          <w:lang w:eastAsia="zh-CN"/>
        </w:rPr>
        <w:t>.</w:t>
      </w:r>
    </w:p>
    <w:p w14:paraId="0FC05710" w14:textId="49BFE2CE" w:rsidR="00DC4A8D" w:rsidRDefault="00DC4A8D" w:rsidP="00DC4A8D">
      <w:pPr>
        <w:pStyle w:val="Heading1"/>
        <w:numPr>
          <w:ilvl w:val="0"/>
          <w:numId w:val="33"/>
        </w:numPr>
        <w:tabs>
          <w:tab w:val="num" w:pos="432"/>
        </w:tabs>
        <w:ind w:left="1138" w:hanging="1138"/>
      </w:pPr>
      <w:r>
        <w:t>WF guideline example</w:t>
      </w:r>
    </w:p>
    <w:p w14:paraId="7D7AD194" w14:textId="3CFDC1BE" w:rsidR="002E0C7C" w:rsidRDefault="002E0C7C" w:rsidP="00D12F84">
      <w:pPr>
        <w:rPr>
          <w:b/>
          <w:bCs/>
          <w:u w:val="single"/>
          <w:lang w:eastAsia="zh-CN"/>
        </w:rPr>
      </w:pPr>
      <w:r>
        <w:rPr>
          <w:lang w:eastAsia="zh-CN"/>
        </w:rPr>
        <w:t>The CA_n5B MSD test point proposed in WF</w:t>
      </w:r>
      <w:r w:rsidR="00947A30">
        <w:rPr>
          <w:lang w:eastAsia="zh-CN"/>
        </w:rPr>
        <w:t xml:space="preserve"> </w:t>
      </w:r>
      <w:r>
        <w:rPr>
          <w:lang w:eastAsia="zh-CN"/>
        </w:rPr>
        <w:t>[</w:t>
      </w:r>
      <w:r w:rsidR="00947A30">
        <w:rPr>
          <w:lang w:eastAsia="zh-CN"/>
        </w:rPr>
        <w:t>3</w:t>
      </w:r>
      <w:r>
        <w:rPr>
          <w:lang w:eastAsia="zh-CN"/>
        </w:rPr>
        <w:t>] is used to illustrate these guidelines.</w:t>
      </w:r>
    </w:p>
    <w:p w14:paraId="09D8D48E" w14:textId="7058106B" w:rsidR="005E5293" w:rsidRPr="005E5293" w:rsidRDefault="005E5293" w:rsidP="00D12F84">
      <w:pPr>
        <w:rPr>
          <w:b/>
          <w:bCs/>
          <w:u w:val="single"/>
          <w:lang w:eastAsia="zh-CN"/>
        </w:rPr>
      </w:pPr>
      <w:r w:rsidRPr="005E5293">
        <w:rPr>
          <w:b/>
          <w:bCs/>
          <w:u w:val="single"/>
          <w:lang w:eastAsia="zh-CN"/>
        </w:rPr>
        <w:t>Example of WF 2.3 – MSD test point that maximizes the PCC MSD</w:t>
      </w:r>
    </w:p>
    <w:p w14:paraId="48FAC856" w14:textId="33F6C686" w:rsidR="00CE6E30" w:rsidRDefault="00CE6E30" w:rsidP="00D12F84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_Ref143775566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is an approximate IMD landscape sketch and shows that </w:t>
      </w:r>
      <w:r w:rsidR="00172062">
        <w:rPr>
          <w:lang w:eastAsia="zh-CN"/>
        </w:rPr>
        <w:t>both</w:t>
      </w:r>
      <w:r>
        <w:rPr>
          <w:lang w:eastAsia="zh-CN"/>
        </w:rPr>
        <w:t xml:space="preserve"> PCC+SCC 5+20</w:t>
      </w:r>
      <w:r w:rsidR="00172062">
        <w:rPr>
          <w:lang w:eastAsia="zh-CN"/>
        </w:rPr>
        <w:t xml:space="preserve"> (MHz)</w:t>
      </w:r>
      <w:r>
        <w:rPr>
          <w:lang w:eastAsia="zh-CN"/>
        </w:rPr>
        <w:t xml:space="preserve"> and </w:t>
      </w:r>
      <w:r w:rsidR="00172062">
        <w:rPr>
          <w:lang w:eastAsia="zh-CN"/>
        </w:rPr>
        <w:t xml:space="preserve">PCC+SCC </w:t>
      </w:r>
      <w:r>
        <w:rPr>
          <w:lang w:eastAsia="zh-CN"/>
        </w:rPr>
        <w:t>10+15</w:t>
      </w:r>
      <w:r w:rsidR="00172062">
        <w:rPr>
          <w:lang w:eastAsia="zh-CN"/>
        </w:rPr>
        <w:t xml:space="preserve"> (MHz)</w:t>
      </w:r>
      <w:r>
        <w:rPr>
          <w:lang w:eastAsia="zh-CN"/>
        </w:rPr>
        <w:t xml:space="preserve"> may lead to </w:t>
      </w:r>
      <w:r w:rsidR="00172062">
        <w:rPr>
          <w:lang w:eastAsia="zh-CN"/>
        </w:rPr>
        <w:t>worse-case</w:t>
      </w:r>
      <w:r>
        <w:rPr>
          <w:lang w:eastAsia="zh-CN"/>
        </w:rPr>
        <w:t xml:space="preserve"> PCC MSD since:</w:t>
      </w:r>
    </w:p>
    <w:p w14:paraId="5D9EE941" w14:textId="6EBB5421" w:rsidR="00DC4A8D" w:rsidRDefault="00CE6E30" w:rsidP="00CE6E30">
      <w:pPr>
        <w:pStyle w:val="ListParagraph"/>
        <w:numPr>
          <w:ilvl w:val="0"/>
          <w:numId w:val="37"/>
        </w:numPr>
        <w:ind w:firstLineChars="0"/>
        <w:rPr>
          <w:lang w:eastAsia="zh-CN"/>
        </w:rPr>
      </w:pPr>
      <w:r>
        <w:rPr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_Ref143775566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-left, PCC+SCC 5+20 (MHz), PCC is affected by partial IMD3 overlap</w:t>
      </w:r>
      <w:r w:rsidR="00352B66">
        <w:rPr>
          <w:lang w:eastAsia="zh-CN"/>
        </w:rPr>
        <w:t>,</w:t>
      </w:r>
    </w:p>
    <w:p w14:paraId="74C34F34" w14:textId="6A06F203" w:rsidR="00CE6E30" w:rsidRDefault="00352B66" w:rsidP="00CE6E30">
      <w:pPr>
        <w:pStyle w:val="ListParagraph"/>
        <w:numPr>
          <w:ilvl w:val="0"/>
          <w:numId w:val="37"/>
        </w:numPr>
        <w:ind w:firstLineChars="0"/>
        <w:rPr>
          <w:lang w:eastAsia="zh-CN"/>
        </w:rPr>
      </w:pPr>
      <w:r>
        <w:rPr>
          <w:lang w:eastAsia="zh-CN"/>
        </w:rPr>
        <w:t xml:space="preserve">In </w:t>
      </w:r>
      <w:r w:rsidR="00CE6E30">
        <w:rPr>
          <w:lang w:eastAsia="zh-CN"/>
        </w:rPr>
        <w:fldChar w:fldCharType="begin"/>
      </w:r>
      <w:r w:rsidR="00CE6E30">
        <w:rPr>
          <w:lang w:eastAsia="zh-CN"/>
        </w:rPr>
        <w:instrText xml:space="preserve"> REF _Ref143775566 \h </w:instrText>
      </w:r>
      <w:r w:rsidR="00CE6E30">
        <w:rPr>
          <w:lang w:eastAsia="zh-CN"/>
        </w:rPr>
      </w:r>
      <w:r w:rsidR="00CE6E30">
        <w:rPr>
          <w:lang w:eastAsia="zh-CN"/>
        </w:rPr>
        <w:fldChar w:fldCharType="separate"/>
      </w:r>
      <w:r w:rsidR="00CE6E30">
        <w:t xml:space="preserve">Figure </w:t>
      </w:r>
      <w:r w:rsidR="00CE6E30">
        <w:rPr>
          <w:noProof/>
        </w:rPr>
        <w:t>2</w:t>
      </w:r>
      <w:r w:rsidR="00CE6E30">
        <w:rPr>
          <w:lang w:eastAsia="zh-CN"/>
        </w:rPr>
        <w:fldChar w:fldCharType="end"/>
      </w:r>
      <w:r w:rsidR="00CE6E30">
        <w:rPr>
          <w:lang w:eastAsia="zh-CN"/>
        </w:rPr>
        <w:t xml:space="preserve">-right, PCC+SCC </w:t>
      </w:r>
      <w:r w:rsidR="00172062">
        <w:rPr>
          <w:lang w:eastAsia="zh-CN"/>
        </w:rPr>
        <w:t>10</w:t>
      </w:r>
      <w:r w:rsidR="00CE6E30">
        <w:rPr>
          <w:lang w:eastAsia="zh-CN"/>
        </w:rPr>
        <w:t>+</w:t>
      </w:r>
      <w:r w:rsidR="00172062">
        <w:rPr>
          <w:lang w:eastAsia="zh-CN"/>
        </w:rPr>
        <w:t>15</w:t>
      </w:r>
      <w:r w:rsidR="00CE6E30">
        <w:rPr>
          <w:lang w:eastAsia="zh-CN"/>
        </w:rPr>
        <w:t xml:space="preserve"> (MHz), PCC</w:t>
      </w:r>
      <w:r w:rsidR="00172062">
        <w:rPr>
          <w:lang w:eastAsia="zh-CN"/>
        </w:rPr>
        <w:t xml:space="preserve"> REFSENS is higher than in </w:t>
      </w:r>
      <w:r w:rsidR="00172062">
        <w:rPr>
          <w:lang w:eastAsia="zh-CN"/>
        </w:rPr>
        <w:fldChar w:fldCharType="begin"/>
      </w:r>
      <w:r w:rsidR="00172062">
        <w:rPr>
          <w:lang w:eastAsia="zh-CN"/>
        </w:rPr>
        <w:instrText xml:space="preserve"> REF _Ref143775566 \h </w:instrText>
      </w:r>
      <w:r w:rsidR="00172062">
        <w:rPr>
          <w:lang w:eastAsia="zh-CN"/>
        </w:rPr>
      </w:r>
      <w:r w:rsidR="00172062">
        <w:rPr>
          <w:lang w:eastAsia="zh-CN"/>
        </w:rPr>
        <w:fldChar w:fldCharType="separate"/>
      </w:r>
      <w:r w:rsidR="00172062">
        <w:t xml:space="preserve">Figure </w:t>
      </w:r>
      <w:r w:rsidR="00172062">
        <w:rPr>
          <w:noProof/>
        </w:rPr>
        <w:t>2</w:t>
      </w:r>
      <w:r w:rsidR="00172062">
        <w:rPr>
          <w:lang w:eastAsia="zh-CN"/>
        </w:rPr>
        <w:fldChar w:fldCharType="end"/>
      </w:r>
      <w:r w:rsidR="00172062">
        <w:rPr>
          <w:lang w:eastAsia="zh-CN"/>
        </w:rPr>
        <w:t>-left, but PCC is</w:t>
      </w:r>
      <w:r w:rsidR="00CE6E30">
        <w:rPr>
          <w:lang w:eastAsia="zh-CN"/>
        </w:rPr>
        <w:t xml:space="preserve"> affected by a slightly higher IMD3 overlap,</w:t>
      </w:r>
    </w:p>
    <w:p w14:paraId="79A087A0" w14:textId="77777777" w:rsidR="00DC4A8D" w:rsidRDefault="00DC4A8D" w:rsidP="00D12F84"/>
    <w:p w14:paraId="408F9A43" w14:textId="165E7EA5" w:rsidR="00D12F84" w:rsidRPr="00D12F84" w:rsidRDefault="00CE6E30" w:rsidP="00CE6E30">
      <w:pPr>
        <w:jc w:val="center"/>
        <w:rPr>
          <w:lang w:val="en-US" w:eastAsia="zh-CN"/>
        </w:rPr>
      </w:pPr>
      <w:r w:rsidRPr="00CE6E30">
        <w:rPr>
          <w:noProof/>
        </w:rPr>
        <w:drawing>
          <wp:inline distT="0" distB="0" distL="0" distR="0" wp14:anchorId="0F7804D4" wp14:editId="3205BE88">
            <wp:extent cx="5242560" cy="2429032"/>
            <wp:effectExtent l="0" t="0" r="0" b="9525"/>
            <wp:docPr id="81712466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623" cy="2432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DD5AD" w14:textId="78899ACD" w:rsidR="00CE6E30" w:rsidRDefault="00CE6E30" w:rsidP="00CE6E30">
      <w:pPr>
        <w:pStyle w:val="Caption"/>
      </w:pPr>
      <w:bookmarkStart w:id="1" w:name="_Ref1437755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 xml:space="preserve">: </w:t>
      </w:r>
      <w:r w:rsidR="000614AB">
        <w:t>CA_n5B BCS1 IMD landscapes for 25MHz UL aggregated CBW.</w:t>
      </w:r>
    </w:p>
    <w:p w14:paraId="13E125B8" w14:textId="46133BB9" w:rsidR="00D12F84" w:rsidRDefault="00D12F84" w:rsidP="00CE6E30">
      <w:pPr>
        <w:rPr>
          <w:lang w:val="en-US" w:eastAsia="zh-CN"/>
        </w:rPr>
      </w:pPr>
    </w:p>
    <w:p w14:paraId="6F1F7CAC" w14:textId="56CE0F2B" w:rsidR="00CE6E30" w:rsidRDefault="000614AB" w:rsidP="00CE6E30">
      <w:pPr>
        <w:rPr>
          <w:lang w:val="en-US" w:eastAsia="zh-CN"/>
        </w:rPr>
      </w:pPr>
      <w:r>
        <w:rPr>
          <w:lang w:val="en-US" w:eastAsia="zh-CN"/>
        </w:rPr>
        <w:t>PCC/SCC MSD r</w:t>
      </w:r>
      <w:r w:rsidR="00CE6E30">
        <w:rPr>
          <w:lang w:val="en-US" w:eastAsia="zh-CN"/>
        </w:rPr>
        <w:t xml:space="preserve">esults from </w:t>
      </w:r>
      <w:r>
        <w:rPr>
          <w:lang w:val="en-US" w:eastAsia="zh-CN"/>
        </w:rPr>
        <w:t>[</w:t>
      </w:r>
      <w:r w:rsidR="00947A30">
        <w:rPr>
          <w:lang w:val="en-US" w:eastAsia="zh-CN"/>
        </w:rPr>
        <w:t>4</w:t>
      </w:r>
      <w:r>
        <w:rPr>
          <w:lang w:val="en-US" w:eastAsia="zh-CN"/>
        </w:rPr>
        <w:t xml:space="preserve">] are reproduced in </w:t>
      </w:r>
      <w:r w:rsidR="00BC4590">
        <w:rPr>
          <w:lang w:val="en-US" w:eastAsia="zh-CN"/>
        </w:rPr>
        <w:fldChar w:fldCharType="begin"/>
      </w:r>
      <w:r w:rsidR="00BC4590">
        <w:rPr>
          <w:lang w:val="en-US" w:eastAsia="zh-CN"/>
        </w:rPr>
        <w:instrText xml:space="preserve"> REF _Ref143776392 \h </w:instrText>
      </w:r>
      <w:r w:rsidR="00BC4590">
        <w:rPr>
          <w:lang w:val="en-US" w:eastAsia="zh-CN"/>
        </w:rPr>
      </w:r>
      <w:r w:rsidR="00BC4590">
        <w:rPr>
          <w:lang w:val="en-US" w:eastAsia="zh-CN"/>
        </w:rPr>
        <w:fldChar w:fldCharType="separate"/>
      </w:r>
      <w:r w:rsidR="00BC4590">
        <w:t xml:space="preserve">Figure </w:t>
      </w:r>
      <w:r w:rsidR="00BC4590">
        <w:rPr>
          <w:noProof/>
        </w:rPr>
        <w:t>3</w:t>
      </w:r>
      <w:r w:rsidR="00BC4590">
        <w:rPr>
          <w:lang w:val="en-US" w:eastAsia="zh-CN"/>
        </w:rPr>
        <w:fldChar w:fldCharType="end"/>
      </w:r>
      <w:r w:rsidR="005E5293">
        <w:rPr>
          <w:lang w:val="en-US" w:eastAsia="zh-CN"/>
        </w:rPr>
        <w:t xml:space="preserve"> and show that 5+20MHz and 10+15MHz lead to near identical ~42dB MSD for the DL PCC.  </w:t>
      </w:r>
    </w:p>
    <w:p w14:paraId="28C9BBA9" w14:textId="77777777" w:rsidR="000614AB" w:rsidRDefault="000614AB" w:rsidP="00CE6E30">
      <w:pPr>
        <w:rPr>
          <w:lang w:val="en-US" w:eastAsia="zh-CN"/>
        </w:rPr>
      </w:pPr>
    </w:p>
    <w:p w14:paraId="19B98224" w14:textId="71A3A45F" w:rsidR="000614AB" w:rsidRDefault="000614AB" w:rsidP="000614AB">
      <w:pPr>
        <w:jc w:val="center"/>
        <w:rPr>
          <w:lang w:val="en-US" w:eastAsia="zh-CN"/>
        </w:rPr>
      </w:pPr>
      <w:r w:rsidRPr="000614AB">
        <w:rPr>
          <w:noProof/>
        </w:rPr>
        <w:drawing>
          <wp:inline distT="0" distB="0" distL="0" distR="0" wp14:anchorId="776CD23F" wp14:editId="14D99DB7">
            <wp:extent cx="3169464" cy="2192020"/>
            <wp:effectExtent l="0" t="0" r="0" b="0"/>
            <wp:docPr id="97502136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470" cy="2196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8E393" w14:textId="79C0CFB1" w:rsidR="00BC4590" w:rsidRDefault="00BC4590" w:rsidP="00BC4590">
      <w:pPr>
        <w:pStyle w:val="Caption"/>
      </w:pPr>
      <w:bookmarkStart w:id="2" w:name="_Ref1437763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>: CA_n5B BCS1 PCC</w:t>
      </w:r>
      <w:r w:rsidR="00172062">
        <w:t xml:space="preserve"> (blue) </w:t>
      </w:r>
      <w:r>
        <w:t>/</w:t>
      </w:r>
      <w:r w:rsidR="00172062">
        <w:t xml:space="preserve"> </w:t>
      </w:r>
      <w:r>
        <w:t>SCC</w:t>
      </w:r>
      <w:r w:rsidR="00172062">
        <w:t xml:space="preserve"> (orange) </w:t>
      </w:r>
      <w:r>
        <w:t>MSD levels for 5+20MHz (left) 10+15 MHz (right).</w:t>
      </w:r>
    </w:p>
    <w:p w14:paraId="7AE6A427" w14:textId="77777777" w:rsidR="00255453" w:rsidRDefault="00255453" w:rsidP="005E5293">
      <w:pPr>
        <w:rPr>
          <w:b/>
          <w:bCs/>
          <w:u w:val="single"/>
          <w:lang w:eastAsia="zh-CN"/>
        </w:rPr>
      </w:pPr>
    </w:p>
    <w:p w14:paraId="6794D1E5" w14:textId="51BDD6CF" w:rsidR="005E5293" w:rsidRDefault="005E5293" w:rsidP="00352B66">
      <w:pPr>
        <w:jc w:val="both"/>
        <w:rPr>
          <w:b/>
          <w:bCs/>
          <w:u w:val="single"/>
          <w:lang w:eastAsia="zh-CN"/>
        </w:rPr>
      </w:pPr>
      <w:r w:rsidRPr="005E5293">
        <w:rPr>
          <w:b/>
          <w:bCs/>
          <w:u w:val="single"/>
          <w:lang w:eastAsia="zh-CN"/>
        </w:rPr>
        <w:t>Example of WF 2.3 – MSD test point that maximizes the PCC MSD</w:t>
      </w:r>
    </w:p>
    <w:p w14:paraId="45DC6E7E" w14:textId="6312DCD0" w:rsidR="00255453" w:rsidRDefault="00255453" w:rsidP="00352B66">
      <w:pPr>
        <w:jc w:val="both"/>
        <w:rPr>
          <w:lang w:eastAsia="zh-CN"/>
        </w:rPr>
      </w:pPr>
      <w:r>
        <w:rPr>
          <w:lang w:eastAsia="zh-CN"/>
        </w:rPr>
        <w:t>For band n5 25MHz DL CBW, the UL configuration for REFSENS is Lcrb=20RBs. Hence for UL-CA, a total of 20RB is specified. For the case of 5+20MHz, this total number of RB is split across component carriers to meet equal PSD. The RBstart is specified for maximum DL PCC overlap by the lowest order IMD, hence:</w:t>
      </w:r>
    </w:p>
    <w:p w14:paraId="625D38BF" w14:textId="65642EA8" w:rsidR="00255453" w:rsidRDefault="00255453" w:rsidP="00255453">
      <w:pPr>
        <w:pStyle w:val="ListParagraph"/>
        <w:numPr>
          <w:ilvl w:val="0"/>
          <w:numId w:val="38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PCC UL Lcrb=4 (RBstart=0)</w:t>
      </w:r>
    </w:p>
    <w:p w14:paraId="038B85A4" w14:textId="479BFECD" w:rsidR="00255453" w:rsidRPr="00255453" w:rsidRDefault="00255453" w:rsidP="00255453">
      <w:pPr>
        <w:pStyle w:val="ListParagraph"/>
        <w:numPr>
          <w:ilvl w:val="0"/>
          <w:numId w:val="38"/>
        </w:numPr>
        <w:ind w:firstLineChars="0"/>
        <w:rPr>
          <w:lang w:eastAsia="zh-CN"/>
        </w:rPr>
      </w:pPr>
      <w:r>
        <w:rPr>
          <w:lang w:eastAsia="zh-CN"/>
        </w:rPr>
        <w:t>SCC UL Lcrb=16 (RBstart=90).</w:t>
      </w:r>
    </w:p>
    <w:p w14:paraId="62E8BEB4" w14:textId="532657F8" w:rsidR="00BC4590" w:rsidRDefault="00255453" w:rsidP="005E5293">
      <w:pPr>
        <w:rPr>
          <w:lang w:val="en-US" w:eastAsia="zh-CN"/>
        </w:rPr>
      </w:pPr>
      <w:r>
        <w:rPr>
          <w:lang w:val="en-US" w:eastAsia="zh-CN"/>
        </w:rPr>
        <w:t>The proposed test point in WF [4] is reproduced below.</w:t>
      </w:r>
    </w:p>
    <w:p w14:paraId="2F68D4E8" w14:textId="77777777" w:rsidR="00255453" w:rsidRDefault="00255453" w:rsidP="00255453">
      <w:pPr>
        <w:pStyle w:val="Caption"/>
      </w:pPr>
      <w:bookmarkStart w:id="3" w:name="_Ref1437501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 </w:t>
      </w:r>
      <w:r w:rsidRPr="000349F5">
        <w:t>Intra-band contiguous CA uplink configuration for reference sensitivity</w:t>
      </w:r>
    </w:p>
    <w:tbl>
      <w:tblPr>
        <w:tblW w:w="520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1"/>
        <w:gridCol w:w="1245"/>
        <w:gridCol w:w="1940"/>
        <w:gridCol w:w="1704"/>
        <w:gridCol w:w="1700"/>
        <w:gridCol w:w="990"/>
        <w:gridCol w:w="851"/>
        <w:gridCol w:w="973"/>
      </w:tblGrid>
      <w:tr w:rsidR="00255453" w:rsidRPr="00BA56F6" w14:paraId="50278928" w14:textId="77777777" w:rsidTr="00D96D2B">
        <w:trPr>
          <w:trHeight w:val="690"/>
          <w:jc w:val="center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C989A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/>
              </w:rPr>
            </w:pPr>
            <w:r w:rsidRPr="00BA56F6">
              <w:rPr>
                <w:rFonts w:ascii="Arial" w:hAnsi="Arial"/>
                <w:b/>
                <w:sz w:val="18"/>
              </w:rPr>
              <w:t>CA configuration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7415B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SCS</w:t>
            </w:r>
          </w:p>
          <w:p w14:paraId="43D33219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(PCC/SCC)</w:t>
            </w:r>
          </w:p>
          <w:p w14:paraId="1835D475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8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44B24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Aggregated channel bandwidth (PCC+SCC)</w:t>
            </w:r>
          </w:p>
        </w:tc>
        <w:tc>
          <w:tcPr>
            <w:tcW w:w="7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39E96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PCC allocation</w:t>
            </w:r>
          </w:p>
          <w:p w14:paraId="0BC7B9A9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A41B8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SCC allocation</w:t>
            </w:r>
          </w:p>
          <w:p w14:paraId="5827E198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67570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PCC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BD40EC5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7878A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255453" w:rsidRPr="00BA56F6" w14:paraId="73B12DD9" w14:textId="77777777" w:rsidTr="00D96D2B">
        <w:trPr>
          <w:trHeight w:val="20"/>
          <w:jc w:val="center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59D13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CA_n5B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797B4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15/15</w:t>
            </w:r>
          </w:p>
        </w:tc>
        <w:tc>
          <w:tcPr>
            <w:tcW w:w="8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397E6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10MHz + 1</w:t>
            </w:r>
            <w:r>
              <w:rPr>
                <w:rFonts w:ascii="Arial" w:hAnsi="Arial"/>
                <w:sz w:val="18"/>
                <w:szCs w:val="18"/>
              </w:rPr>
              <w:t>0</w:t>
            </w:r>
            <w:r w:rsidRPr="00BA56F6">
              <w:rPr>
                <w:rFonts w:ascii="Arial" w:hAnsi="Arial"/>
                <w:sz w:val="18"/>
                <w:szCs w:val="18"/>
              </w:rPr>
              <w:t>MHz</w:t>
            </w:r>
          </w:p>
        </w:tc>
        <w:tc>
          <w:tcPr>
            <w:tcW w:w="7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745A5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fi-FI" w:eastAsia="fi-FI"/>
              </w:rPr>
              <w:t>10</w:t>
            </w:r>
            <w:r w:rsidRPr="00BA56F6">
              <w:rPr>
                <w:rFonts w:ascii="Arial" w:hAnsi="Arial"/>
                <w:sz w:val="18"/>
                <w:szCs w:val="18"/>
                <w:lang w:val="fi-FI" w:eastAsia="fi-FI"/>
              </w:rPr>
              <w:t xml:space="preserve"> (RB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lang w:val="fi-FI" w:eastAsia="fi-FI"/>
              </w:rPr>
              <w:t xml:space="preserve"> = 0)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7A4C8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>0 (RB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 xml:space="preserve"> =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42</w:t>
            </w:r>
            <w:r w:rsidRPr="00BA56F6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95E53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30.8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0495E8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26.1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7B396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FDD</w:t>
            </w:r>
          </w:p>
        </w:tc>
      </w:tr>
      <w:tr w:rsidR="00255453" w:rsidRPr="00BA56F6" w14:paraId="1476F310" w14:textId="77777777" w:rsidTr="00D96D2B">
        <w:trPr>
          <w:trHeight w:val="20"/>
          <w:jc w:val="center"/>
        </w:trPr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8CC0D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CA_n5B</w:t>
            </w:r>
            <w:r w:rsidRPr="00904190">
              <w:rPr>
                <w:rFonts w:ascii="Arial" w:hAnsi="Arial"/>
                <w:b/>
                <w:bCs/>
                <w:sz w:val="18"/>
                <w:szCs w:val="18"/>
                <w:highlight w:val="green"/>
                <w:vertAlign w:val="superscript"/>
              </w:rPr>
              <w:t>x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906FB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15/15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DB98E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5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MHz + </w:t>
            </w: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20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MHz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4457F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4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(RB</w:t>
            </w:r>
            <w:r w:rsidRPr="00904190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= 0) 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AC280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16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(RB</w:t>
            </w:r>
            <w:r w:rsidRPr="00904190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 = </w:t>
            </w: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9</w:t>
            </w: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 xml:space="preserve">0)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4662A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[FFS]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45E8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904190">
              <w:rPr>
                <w:rFonts w:ascii="Arial" w:hAnsi="Arial"/>
                <w:sz w:val="18"/>
                <w:szCs w:val="18"/>
                <w:highlight w:val="green"/>
              </w:rPr>
              <w:t>[FFS]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6974C" w14:textId="77777777" w:rsidR="00255453" w:rsidRPr="00BA56F6" w:rsidRDefault="00255453" w:rsidP="00D96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A56F6">
              <w:rPr>
                <w:rFonts w:ascii="Arial" w:hAnsi="Arial"/>
                <w:sz w:val="18"/>
                <w:szCs w:val="18"/>
                <w:highlight w:val="green"/>
              </w:rPr>
              <w:t>FDD</w:t>
            </w:r>
          </w:p>
        </w:tc>
      </w:tr>
      <w:tr w:rsidR="00255453" w:rsidRPr="00BA56F6" w14:paraId="5D9E4E67" w14:textId="77777777" w:rsidTr="00D96D2B">
        <w:trPr>
          <w:trHeight w:val="35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25765FC" w14:textId="77777777" w:rsidR="00255453" w:rsidRPr="00BA56F6" w:rsidRDefault="00255453" w:rsidP="00D96D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1:</w:t>
            </w:r>
            <w:r w:rsidRPr="00BA56F6">
              <w:rPr>
                <w:rFonts w:ascii="Arial" w:hAnsi="Arial"/>
                <w:sz w:val="18"/>
              </w:rPr>
              <w:tab/>
              <w:t>All combinations of channel bandwidths defined in Table 5.5A.1-1.</w:t>
            </w:r>
          </w:p>
          <w:p w14:paraId="5DF03EB9" w14:textId="77777777" w:rsidR="00255453" w:rsidRPr="00BA56F6" w:rsidRDefault="00255453" w:rsidP="00D96D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2: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  <w:t>The carrier centre frequency of SCC in the UL operating band is configured closer to the DL operating band.</w:t>
            </w:r>
          </w:p>
          <w:p w14:paraId="64A338AA" w14:textId="77777777" w:rsidR="00255453" w:rsidRPr="00BA56F6" w:rsidRDefault="00255453" w:rsidP="00D96D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3: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</w:r>
            <w:r w:rsidRPr="00BA56F6">
              <w:rPr>
                <w:rFonts w:ascii="Arial" w:hAnsi="Arial"/>
                <w:sz w:val="18"/>
              </w:rPr>
              <w:t>The transmi</w:t>
            </w:r>
            <w:r w:rsidRPr="00BA56F6">
              <w:rPr>
                <w:rFonts w:ascii="Arial" w:hAnsi="Arial"/>
                <w:sz w:val="18"/>
                <w:lang w:eastAsia="zh-CN"/>
              </w:rPr>
              <w:t xml:space="preserve">tted power over both PCC and SCC </w:t>
            </w:r>
            <w:r w:rsidRPr="00BA56F6">
              <w:rPr>
                <w:rFonts w:ascii="Arial" w:hAnsi="Arial"/>
                <w:sz w:val="18"/>
              </w:rPr>
              <w:t>shall be set to P</w:t>
            </w:r>
            <w:r w:rsidRPr="00BA56F6">
              <w:rPr>
                <w:rFonts w:ascii="Arial" w:hAnsi="Arial"/>
                <w:sz w:val="18"/>
                <w:vertAlign w:val="subscript"/>
              </w:rPr>
              <w:t>UMAX</w:t>
            </w:r>
            <w:r w:rsidRPr="00BA56F6">
              <w:rPr>
                <w:rFonts w:ascii="Arial" w:hAnsi="Arial"/>
                <w:sz w:val="18"/>
              </w:rPr>
              <w:t xml:space="preserve"> as defined in subclause 6.2A.4</w:t>
            </w:r>
            <w:r w:rsidRPr="00BA56F6">
              <w:rPr>
                <w:rFonts w:ascii="Arial" w:hAnsi="Arial"/>
                <w:sz w:val="18"/>
                <w:lang w:eastAsia="zh-CN"/>
              </w:rPr>
              <w:t>.</w:t>
            </w:r>
          </w:p>
          <w:p w14:paraId="64C1BC74" w14:textId="77777777" w:rsidR="00255453" w:rsidRDefault="00255453" w:rsidP="00D96D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4:</w:t>
            </w:r>
            <w:r w:rsidRPr="00BA56F6">
              <w:rPr>
                <w:rFonts w:ascii="Arial" w:hAnsi="Arial"/>
                <w:sz w:val="18"/>
              </w:rPr>
              <w:tab/>
              <w:t>The PCC allocation is same as Transmission bandwidth configuration N</w:t>
            </w:r>
            <w:r w:rsidRPr="00BA56F6">
              <w:rPr>
                <w:rFonts w:ascii="Arial" w:hAnsi="Arial"/>
                <w:sz w:val="18"/>
                <w:vertAlign w:val="subscript"/>
              </w:rPr>
              <w:t>RB</w:t>
            </w:r>
            <w:r w:rsidRPr="00BA56F6">
              <w:rPr>
                <w:rFonts w:ascii="Arial" w:hAnsi="Arial"/>
                <w:sz w:val="18"/>
              </w:rPr>
              <w:t xml:space="preserve"> as defined in Table 5.3.2-1.</w:t>
            </w:r>
          </w:p>
          <w:p w14:paraId="7767A127" w14:textId="77777777" w:rsidR="00255453" w:rsidRPr="00BA56F6" w:rsidRDefault="00255453" w:rsidP="00D96D2B">
            <w:pPr>
              <w:keepNext/>
              <w:keepLines/>
              <w:spacing w:after="0"/>
              <w:ind w:left="851" w:hanging="851"/>
              <w:rPr>
                <w:rFonts w:ascii="Arial" w:hAnsi="Arial"/>
                <w:strike/>
                <w:sz w:val="18"/>
              </w:rPr>
            </w:pPr>
            <w:r w:rsidRPr="00904190">
              <w:rPr>
                <w:rFonts w:ascii="Arial" w:hAnsi="Arial"/>
                <w:sz w:val="18"/>
                <w:highlight w:val="green"/>
              </w:rPr>
              <w:t>NOTE X:</w:t>
            </w:r>
            <w:r w:rsidRPr="00BA56F6">
              <w:rPr>
                <w:rFonts w:ascii="Arial" w:hAnsi="Arial"/>
                <w:sz w:val="18"/>
                <w:highlight w:val="green"/>
              </w:rPr>
              <w:t xml:space="preserve"> </w:t>
            </w:r>
            <w:r w:rsidRPr="00904190">
              <w:rPr>
                <w:rFonts w:ascii="Arial" w:hAnsi="Arial"/>
                <w:sz w:val="18"/>
                <w:highlight w:val="green"/>
              </w:rPr>
              <w:t xml:space="preserve"> Applicable only to BCS 1.</w:t>
            </w:r>
          </w:p>
        </w:tc>
      </w:tr>
    </w:tbl>
    <w:p w14:paraId="6C7BA1F4" w14:textId="77777777" w:rsidR="00255453" w:rsidRDefault="00255453" w:rsidP="005E5293">
      <w:pPr>
        <w:rPr>
          <w:lang w:val="en-US" w:eastAsia="zh-CN"/>
        </w:rPr>
      </w:pPr>
    </w:p>
    <w:p w14:paraId="1AA513D7" w14:textId="1B829892" w:rsidR="00352B66" w:rsidRPr="00CE6E30" w:rsidRDefault="00172062" w:rsidP="005E5293">
      <w:pPr>
        <w:rPr>
          <w:lang w:val="en-US" w:eastAsia="zh-CN"/>
        </w:rPr>
      </w:pPr>
      <w:r>
        <w:rPr>
          <w:lang w:val="en-US" w:eastAsia="zh-CN"/>
        </w:rPr>
        <w:t>Based on this WF2.2, a</w:t>
      </w:r>
      <w:r w:rsidR="00352B66">
        <w:rPr>
          <w:lang w:val="en-US" w:eastAsia="zh-CN"/>
        </w:rPr>
        <w:t xml:space="preserve"> new footnote is added to specify th</w:t>
      </w:r>
      <w:r>
        <w:rPr>
          <w:lang w:val="en-US" w:eastAsia="zh-CN"/>
        </w:rPr>
        <w:t>at the test point for</w:t>
      </w:r>
      <w:r w:rsidR="00352B66">
        <w:rPr>
          <w:lang w:val="en-US" w:eastAsia="zh-CN"/>
        </w:rPr>
        <w:t xml:space="preserve"> 25MHz aggregated UL CBW applies only to BCS1</w:t>
      </w:r>
      <w:r>
        <w:rPr>
          <w:lang w:val="en-US" w:eastAsia="zh-CN"/>
        </w:rPr>
        <w:t>.</w:t>
      </w:r>
    </w:p>
    <w:p w14:paraId="5DEF848F" w14:textId="77777777" w:rsidR="00F2750F" w:rsidRDefault="00F2750F" w:rsidP="00F2750F">
      <w:pPr>
        <w:pStyle w:val="Heading1"/>
        <w:numPr>
          <w:ilvl w:val="0"/>
          <w:numId w:val="33"/>
        </w:numPr>
        <w:ind w:left="1138" w:hanging="1138"/>
      </w:pPr>
      <w:r>
        <w:t>References</w:t>
      </w:r>
    </w:p>
    <w:p w14:paraId="48BD3EEF" w14:textId="77777777" w:rsidR="00F2750F" w:rsidRPr="004768DA" w:rsidRDefault="00F2750F" w:rsidP="00F2750F">
      <w:pPr>
        <w:spacing w:after="0"/>
      </w:pPr>
    </w:p>
    <w:p w14:paraId="004C0B52" w14:textId="0193CBB1" w:rsidR="00F2750F" w:rsidRDefault="00AB02E5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AB02E5">
        <w:rPr>
          <w:rFonts w:ascii="Arial" w:hAnsi="Arial" w:cs="Arial"/>
          <w:lang w:val="en-CA"/>
        </w:rPr>
        <w:t>R4-2107805</w:t>
      </w:r>
      <w:r w:rsidR="00834FB2">
        <w:rPr>
          <w:rFonts w:ascii="Arial" w:hAnsi="Arial" w:cs="Arial"/>
          <w:lang w:val="en-CA"/>
        </w:rPr>
        <w:t xml:space="preserve"> </w:t>
      </w:r>
      <w:r w:rsidRPr="00AB02E5">
        <w:rPr>
          <w:rFonts w:ascii="Arial" w:hAnsi="Arial" w:cs="Arial"/>
          <w:lang w:val="en-CA"/>
        </w:rPr>
        <w:t>WF on DC_(n)71AA single UL</w:t>
      </w:r>
      <w:r w:rsidR="00834FB2">
        <w:rPr>
          <w:rFonts w:ascii="Arial" w:hAnsi="Arial" w:cs="Arial"/>
          <w:lang w:val="en-CA"/>
        </w:rPr>
        <w:t xml:space="preserve">, </w:t>
      </w:r>
      <w:r w:rsidR="00834FB2" w:rsidRPr="00834FB2">
        <w:rPr>
          <w:rFonts w:ascii="Arial" w:hAnsi="Arial" w:cs="Arial"/>
          <w:lang w:val="en-CA"/>
        </w:rPr>
        <w:t xml:space="preserve">3GPP TSG-RAN WG4 Meeting # </w:t>
      </w:r>
      <w:r>
        <w:rPr>
          <w:rFonts w:ascii="Arial" w:hAnsi="Arial" w:cs="Arial"/>
          <w:lang w:val="en-CA"/>
        </w:rPr>
        <w:t>99</w:t>
      </w:r>
      <w:r w:rsidR="00834FB2" w:rsidRPr="00834FB2">
        <w:rPr>
          <w:rFonts w:ascii="Arial" w:hAnsi="Arial" w:cs="Arial"/>
          <w:lang w:val="en-CA"/>
        </w:rPr>
        <w:t>e</w:t>
      </w:r>
      <w:r w:rsidR="00834FB2">
        <w:rPr>
          <w:rFonts w:ascii="Arial" w:hAnsi="Arial" w:cs="Arial"/>
          <w:lang w:val="en-CA"/>
        </w:rPr>
        <w:t xml:space="preserve"> Electronic meeting, </w:t>
      </w:r>
      <w:r w:rsidR="00834FB2" w:rsidRPr="00834FB2">
        <w:rPr>
          <w:rFonts w:ascii="Arial" w:hAnsi="Arial" w:cs="Arial"/>
          <w:lang w:val="en-CA"/>
        </w:rPr>
        <w:t>Skyworks Solutions Inc.</w:t>
      </w:r>
      <w:r>
        <w:rPr>
          <w:rFonts w:ascii="Arial" w:hAnsi="Arial" w:cs="Arial"/>
          <w:lang w:val="en-CA"/>
        </w:rPr>
        <w:t>, Mediatek.</w:t>
      </w:r>
    </w:p>
    <w:p w14:paraId="3E4D25B6" w14:textId="267C9CB7" w:rsidR="00F2750F" w:rsidRDefault="00AB02E5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AB02E5">
        <w:rPr>
          <w:rFonts w:ascii="Arial" w:hAnsi="Arial" w:cs="Arial"/>
          <w:lang w:val="en-CA"/>
        </w:rPr>
        <w:t>R4-2202028</w:t>
      </w:r>
      <w:r w:rsidR="00F2750F">
        <w:rPr>
          <w:rFonts w:ascii="Arial" w:hAnsi="Arial" w:cs="Arial"/>
          <w:lang w:val="en-CA"/>
        </w:rPr>
        <w:t xml:space="preserve"> </w:t>
      </w:r>
      <w:r w:rsidR="006C0498" w:rsidRPr="006C0498">
        <w:rPr>
          <w:rFonts w:ascii="Arial" w:hAnsi="Arial" w:cs="Arial"/>
          <w:lang w:val="en-CA"/>
        </w:rPr>
        <w:t>Corrections to Intra-band CA MSD for CA_n5B and CA_n7B</w:t>
      </w:r>
      <w:r w:rsidR="00F2750F">
        <w:rPr>
          <w:rFonts w:ascii="Arial" w:hAnsi="Arial" w:cs="Arial"/>
          <w:lang w:val="en-CA"/>
        </w:rPr>
        <w:t xml:space="preserve">, </w:t>
      </w:r>
      <w:r w:rsidR="00834FB2" w:rsidRPr="00834FB2">
        <w:rPr>
          <w:rFonts w:ascii="Arial" w:hAnsi="Arial" w:cs="Arial"/>
          <w:lang w:val="en-CA"/>
        </w:rPr>
        <w:t>3GPP TSG-RAN WG4 #10</w:t>
      </w:r>
      <w:r w:rsidR="006C0498">
        <w:rPr>
          <w:rFonts w:ascii="Arial" w:hAnsi="Arial" w:cs="Arial"/>
          <w:lang w:val="en-CA"/>
        </w:rPr>
        <w:t>1bis-e</w:t>
      </w:r>
      <w:r w:rsidR="00834FB2">
        <w:rPr>
          <w:rFonts w:ascii="Arial" w:hAnsi="Arial" w:cs="Arial"/>
          <w:lang w:val="en-CA"/>
        </w:rPr>
        <w:t xml:space="preserve"> </w:t>
      </w:r>
      <w:r w:rsidR="006C0498">
        <w:rPr>
          <w:rFonts w:ascii="Arial" w:hAnsi="Arial" w:cs="Arial"/>
          <w:lang w:val="en-CA"/>
        </w:rPr>
        <w:t>Electronic meeting</w:t>
      </w:r>
      <w:r w:rsidR="00834FB2">
        <w:rPr>
          <w:rFonts w:ascii="Arial" w:hAnsi="Arial" w:cs="Arial"/>
          <w:lang w:val="en-CA"/>
        </w:rPr>
        <w:t xml:space="preserve">, </w:t>
      </w:r>
      <w:r w:rsidR="006C0498">
        <w:rPr>
          <w:rFonts w:ascii="Arial" w:hAnsi="Arial" w:cs="Arial"/>
          <w:lang w:val="en-CA"/>
        </w:rPr>
        <w:t>Skyworks Solutions Inc.</w:t>
      </w:r>
    </w:p>
    <w:p w14:paraId="492F1B47" w14:textId="47CEBD5C" w:rsidR="000614AB" w:rsidRPr="00052E32" w:rsidRDefault="00F2750F" w:rsidP="00F3462B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0B5641">
        <w:rPr>
          <w:rFonts w:ascii="Arial" w:hAnsi="Arial" w:cs="Arial"/>
          <w:lang w:val="en-CA"/>
        </w:rPr>
        <w:t>R4-23</w:t>
      </w:r>
      <w:r w:rsidR="00834FB2" w:rsidRPr="000B5641">
        <w:rPr>
          <w:rFonts w:ascii="Arial" w:hAnsi="Arial" w:cs="Arial"/>
          <w:lang w:val="en-CA"/>
        </w:rPr>
        <w:t>1</w:t>
      </w:r>
      <w:r w:rsidR="000B5641" w:rsidRPr="000B5641">
        <w:rPr>
          <w:rFonts w:ascii="Arial" w:hAnsi="Arial" w:cs="Arial"/>
          <w:lang w:val="en-CA"/>
        </w:rPr>
        <w:t>4855</w:t>
      </w:r>
      <w:r w:rsidR="00834FB2" w:rsidRPr="00052E32">
        <w:rPr>
          <w:rFonts w:ascii="Arial" w:hAnsi="Arial" w:cs="Arial"/>
          <w:lang w:val="en-CA"/>
        </w:rPr>
        <w:t xml:space="preserve"> </w:t>
      </w:r>
      <w:r w:rsidR="00DC4A8D" w:rsidRPr="00052E32">
        <w:rPr>
          <w:rFonts w:ascii="Arial" w:hAnsi="Arial" w:cs="Arial"/>
          <w:lang w:val="en-CA"/>
        </w:rPr>
        <w:t>WF on CA_n5B DLUL BCS1 MSD test point</w:t>
      </w:r>
      <w:r w:rsidR="000349F5" w:rsidRPr="00052E32">
        <w:rPr>
          <w:rFonts w:ascii="Arial" w:hAnsi="Arial" w:cs="Arial"/>
          <w:lang w:val="en-CA"/>
        </w:rPr>
        <w:t>, 3GPP TSG-RAN WG4 #108 Toulouse, France, Skyworks Solutions Inc.</w:t>
      </w:r>
    </w:p>
    <w:p w14:paraId="10E0B5EB" w14:textId="0487C366" w:rsidR="00CE6E30" w:rsidRPr="000614AB" w:rsidRDefault="000614AB" w:rsidP="000614AB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834FB2">
        <w:rPr>
          <w:rFonts w:ascii="Arial" w:hAnsi="Arial" w:cs="Arial"/>
          <w:lang w:val="en-CA"/>
        </w:rPr>
        <w:t>R4-2114579</w:t>
      </w:r>
      <w:r>
        <w:rPr>
          <w:rFonts w:ascii="Arial" w:hAnsi="Arial" w:cs="Arial"/>
          <w:lang w:val="en-CA"/>
        </w:rPr>
        <w:t xml:space="preserve"> </w:t>
      </w:r>
      <w:r w:rsidRPr="00834FB2">
        <w:rPr>
          <w:rFonts w:ascii="Arial" w:hAnsi="Arial" w:cs="Arial"/>
          <w:lang w:val="en-CA"/>
        </w:rPr>
        <w:t>CA_n5B MSD</w:t>
      </w:r>
      <w:r>
        <w:rPr>
          <w:rFonts w:ascii="Arial" w:hAnsi="Arial" w:cs="Arial"/>
          <w:lang w:val="en-CA"/>
        </w:rPr>
        <w:t xml:space="preserve">, </w:t>
      </w:r>
      <w:r w:rsidRPr="00834FB2">
        <w:rPr>
          <w:rFonts w:ascii="Arial" w:hAnsi="Arial" w:cs="Arial"/>
          <w:lang w:val="en-CA"/>
        </w:rPr>
        <w:t>3GPP TSG-RAN WG4 Meeting # 100e</w:t>
      </w:r>
      <w:r>
        <w:rPr>
          <w:rFonts w:ascii="Arial" w:hAnsi="Arial" w:cs="Arial"/>
          <w:lang w:val="en-CA"/>
        </w:rPr>
        <w:t xml:space="preserve"> Electronic meeting, </w:t>
      </w:r>
      <w:r w:rsidRPr="00834FB2">
        <w:rPr>
          <w:rFonts w:ascii="Arial" w:hAnsi="Arial" w:cs="Arial"/>
          <w:lang w:val="en-CA"/>
        </w:rPr>
        <w:t>Skyworks Solutions Inc.</w:t>
      </w:r>
    </w:p>
    <w:p w14:paraId="0F79C49E" w14:textId="77777777" w:rsidR="00B465A4" w:rsidRPr="00F2750F" w:rsidRDefault="00B465A4" w:rsidP="003E08FC">
      <w:pPr>
        <w:pStyle w:val="B1"/>
        <w:rPr>
          <w:lang w:val="en-CA" w:eastAsia="zh-CN"/>
        </w:rPr>
      </w:pPr>
    </w:p>
    <w:sectPr w:rsidR="00B465A4" w:rsidRPr="00F2750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6DFEA" w14:textId="77777777" w:rsidR="00621547" w:rsidRPr="00A10429" w:rsidRDefault="0062154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09B569D" w14:textId="77777777" w:rsidR="00621547" w:rsidRPr="00A10429" w:rsidRDefault="00621547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25412DD7" w14:textId="77777777" w:rsidR="00621547" w:rsidRDefault="006215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C41D4" w14:textId="77777777" w:rsidR="00621547" w:rsidRPr="00A10429" w:rsidRDefault="0062154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FE70A25" w14:textId="77777777" w:rsidR="00621547" w:rsidRPr="00A10429" w:rsidRDefault="00621547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4C1DB9E9" w14:textId="77777777" w:rsidR="00621547" w:rsidRDefault="006215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14FE1"/>
    <w:multiLevelType w:val="hybridMultilevel"/>
    <w:tmpl w:val="3E3A9D02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0E1096"/>
    <w:multiLevelType w:val="hybridMultilevel"/>
    <w:tmpl w:val="05888126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EE2DA2"/>
    <w:multiLevelType w:val="hybridMultilevel"/>
    <w:tmpl w:val="A1084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5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9"/>
  </w:num>
  <w:num w:numId="2" w16cid:durableId="767700499">
    <w:abstractNumId w:val="17"/>
  </w:num>
  <w:num w:numId="3" w16cid:durableId="980884213">
    <w:abstractNumId w:val="27"/>
  </w:num>
  <w:num w:numId="4" w16cid:durableId="1846701611">
    <w:abstractNumId w:val="16"/>
  </w:num>
  <w:num w:numId="5" w16cid:durableId="699012852">
    <w:abstractNumId w:val="7"/>
  </w:num>
  <w:num w:numId="6" w16cid:durableId="1450201014">
    <w:abstractNumId w:val="22"/>
  </w:num>
  <w:num w:numId="7" w16cid:durableId="1073939429">
    <w:abstractNumId w:val="6"/>
  </w:num>
  <w:num w:numId="8" w16cid:durableId="214005466">
    <w:abstractNumId w:val="21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2"/>
  </w:num>
  <w:num w:numId="12" w16cid:durableId="2118793171">
    <w:abstractNumId w:val="12"/>
  </w:num>
  <w:num w:numId="13" w16cid:durableId="1243837963">
    <w:abstractNumId w:val="10"/>
  </w:num>
  <w:num w:numId="14" w16cid:durableId="1296058729">
    <w:abstractNumId w:val="26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20"/>
  </w:num>
  <w:num w:numId="18" w16cid:durableId="161748096">
    <w:abstractNumId w:val="30"/>
  </w:num>
  <w:num w:numId="19" w16cid:durableId="573126915">
    <w:abstractNumId w:val="29"/>
  </w:num>
  <w:num w:numId="20" w16cid:durableId="2004045065">
    <w:abstractNumId w:val="9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13"/>
  </w:num>
  <w:num w:numId="24" w16cid:durableId="986275603">
    <w:abstractNumId w:val="3"/>
  </w:num>
  <w:num w:numId="25" w16cid:durableId="757677477">
    <w:abstractNumId w:val="1"/>
  </w:num>
  <w:num w:numId="26" w16cid:durableId="416564558">
    <w:abstractNumId w:val="14"/>
  </w:num>
  <w:num w:numId="27" w16cid:durableId="119879853">
    <w:abstractNumId w:val="15"/>
  </w:num>
  <w:num w:numId="28" w16cid:durableId="375130886">
    <w:abstractNumId w:val="23"/>
  </w:num>
  <w:num w:numId="29" w16cid:durableId="381445059">
    <w:abstractNumId w:val="25"/>
  </w:num>
  <w:num w:numId="30" w16cid:durableId="2003196174">
    <w:abstractNumId w:val="19"/>
  </w:num>
  <w:num w:numId="31" w16cid:durableId="886913614">
    <w:abstractNumId w:val="18"/>
  </w:num>
  <w:num w:numId="32" w16cid:durableId="653603067">
    <w:abstractNumId w:val="0"/>
  </w:num>
  <w:num w:numId="33" w16cid:durableId="1114905461">
    <w:abstractNumId w:val="5"/>
  </w:num>
  <w:num w:numId="34" w16cid:durableId="402262815">
    <w:abstractNumId w:val="24"/>
  </w:num>
  <w:num w:numId="35" w16cid:durableId="1312977174">
    <w:abstractNumId w:val="28"/>
  </w:num>
  <w:num w:numId="36" w16cid:durableId="569735877">
    <w:abstractNumId w:val="11"/>
  </w:num>
  <w:num w:numId="37" w16cid:durableId="730999003">
    <w:abstractNumId w:val="8"/>
  </w:num>
  <w:num w:numId="38" w16cid:durableId="183968462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E32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14AB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641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7C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62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486C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453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0C7C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2B66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5E03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EF4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293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00B"/>
    <w:rsid w:val="0062028B"/>
    <w:rsid w:val="006204A5"/>
    <w:rsid w:val="00620F17"/>
    <w:rsid w:val="0062154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498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0E23"/>
    <w:rsid w:val="008C10A5"/>
    <w:rsid w:val="008C1F0F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A30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39D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566E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0C9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2E5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590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6B0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6E30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2F8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8D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10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36F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6EA0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129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B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Laurent Noel</cp:lastModifiedBy>
  <cp:revision>3</cp:revision>
  <dcterms:created xsi:type="dcterms:W3CDTF">2023-08-25T06:24:00Z</dcterms:created>
  <dcterms:modified xsi:type="dcterms:W3CDTF">2023-08-25T06:26:00Z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